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A38D8" w:rsidP="00CA38D8" w14:paraId="23F23679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5E2CF8AB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5AD8D86B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51D4CAD3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226BAF89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7EC6803E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56676106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0587B5A2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09F75E7D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P="00CA38D8" w14:paraId="38415AF8" w14:textId="7777777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CA38D8" w14:paraId="24D78AFB" w14:textId="71F0A6F1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Descriptive statistics</w:t>
      </w:r>
    </w:p>
    <w:p w:rsidR="00CA38D8" w:rsidRPr="00CA38D8" w:rsidP="00CA38D8" w14:paraId="3801CDEE" w14:textId="35D87E93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Name</w:t>
      </w:r>
    </w:p>
    <w:p w:rsidR="00CA38D8" w:rsidRPr="00CA38D8" w:rsidP="00CA38D8" w14:paraId="074F9753" w14:textId="4D7CA9B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Institution</w:t>
      </w:r>
    </w:p>
    <w:p w:rsidR="00CA38D8" w:rsidP="00884950" w14:paraId="4893528F" w14:textId="4CA30C3E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26197D98" w14:textId="3AF3E63E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39D4B0F1" w14:textId="2F94CDEA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7AAC64F8" w14:textId="42AA6B9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1EED5BB1" w14:textId="12E349C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34912A49" w14:textId="400FFCB3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405E3220" w14:textId="78B5B9F5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6EABDF04" w14:textId="529795C3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1C5936AE" w14:textId="259366B6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884950" w14:paraId="22D8221F" w14:textId="58A1B61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884950" w14:paraId="4ED42883" w14:textId="77777777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E29A0" w:rsidRPr="00CA38D8" w:rsidP="00884950" w14:paraId="6A5C21E3" w14:textId="3C2F3D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Manual Calculations</w:t>
      </w:r>
      <w:r w:rsidRPr="00CA38D8" w:rsidR="00073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5955" w:rsidRPr="00CA38D8" w:rsidP="00FD0693" w14:paraId="7D343B18" w14:textId="68A2C7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Measures of central tendency</w:t>
      </w:r>
    </w:p>
    <w:tbl>
      <w:tblPr>
        <w:tblW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1120"/>
      </w:tblGrid>
      <w:tr w14:paraId="21197CEF" w14:textId="77777777" w:rsidTr="00CA38D8">
        <w:tblPrEx>
          <w:tblW w:w="30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68745F4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53787E23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508BDFE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</w:tr>
      <w:tr w14:paraId="0FFDFAC9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69DA926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12F280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91F474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66DEC7CE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1D8AB26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6CEAA5D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0E83250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3B753663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BA4122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3058A80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5432C9D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14:paraId="1D3F1364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1AB4372E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EB5909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6677CEA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14:paraId="073F2288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17D7A47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46CC56F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283152B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14:paraId="184E0E50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1C1C6C0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9696AB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2C2EBE7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14:paraId="6D2958DD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0587CB30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458AA5C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7306F67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602F841" w14:textId="77777777" w:rsidTr="00CA38D8">
        <w:tblPrEx>
          <w:tblW w:w="3040" w:type="dxa"/>
          <w:tblCellMar>
            <w:left w:w="0" w:type="dxa"/>
            <w:right w:w="0" w:type="dxa"/>
          </w:tblCellMar>
          <w:tblLook w:val="04A0"/>
        </w:tblPrEx>
        <w:trPr>
          <w:divId w:val="786318524"/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66431463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36720EC7" w14:textId="1134B598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/>
                  <m:supHide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1F74" w:rsidRPr="00CA38D8" w:rsidP="00FD0693" w14:paraId="50ADC8F3" w14:textId="198A50CF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/>
                  <m:supHide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</w:tbl>
    <w:p w:rsidR="00671F74" w:rsidRPr="00CA38D8" w:rsidP="00FD0693" w14:paraId="0C9697A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955" w:rsidRPr="00CA38D8" w:rsidP="00FD0693" w14:paraId="09A11864" w14:textId="6A4AC96C">
      <w:pPr>
        <w:pStyle w:val="ListParagraph"/>
        <w:jc w:val="both"/>
        <w:rPr>
          <w:rFonts w:ascii="Times New Roman" w:hAnsi="Times New Roman" w:eastAsiaTheme="minorEastAsia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Mean</w:t>
      </w:r>
      <w:r w:rsidRPr="00CA38D8" w:rsidR="009F5AA6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)=</m:t>
        </m:r>
      </m:oMath>
      <w:r w:rsidRPr="00CA38D8" w:rsidR="009F5A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A38D8" w:rsidR="002C1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/>
                <m:supHide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fx</m:t>
                </m:r>
              </m:e>
            </m:nary>
          </m:num>
          <m:den>
            <m:nary>
              <m:naryPr>
                <m:chr m:val="∑"/>
                <m:limLoc m:val="undOvr"/>
                <m:subHide/>
                <m:supHide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nary>
          </m:den>
        </m:f>
      </m:oMath>
    </w:p>
    <w:p w:rsidR="004D7BF6" w:rsidRPr="00CA38D8" w:rsidP="00FD0693" w14:paraId="521E253A" w14:textId="0F2EDD4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=290/40</w:t>
      </w:r>
    </w:p>
    <w:p w:rsidR="004D7BF6" w:rsidRPr="00CA38D8" w:rsidP="00FD0693" w14:paraId="13EB8DC4" w14:textId="7AE085F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=</w:t>
      </w:r>
      <w:r w:rsidRPr="00CA38D8" w:rsidR="002967AE">
        <w:rPr>
          <w:rFonts w:ascii="Times New Roman" w:hAnsi="Times New Roman" w:cs="Times New Roman"/>
          <w:sz w:val="24"/>
          <w:szCs w:val="24"/>
        </w:rPr>
        <w:t>7.25</w:t>
      </w:r>
    </w:p>
    <w:p w:rsidR="002967AE" w:rsidRPr="00CA38D8" w:rsidP="00CA38D8" w14:paraId="127FF733" w14:textId="7C948D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average amount of sleep per night for all college students is 7.25 hours.</w:t>
      </w:r>
    </w:p>
    <w:p w:rsidR="002967AE" w:rsidRPr="00CA38D8" w:rsidP="00CA38D8" w14:paraId="63A38D75" w14:textId="6C4FECBB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Mode</w:t>
      </w:r>
    </w:p>
    <w:p w:rsidR="002967AE" w:rsidRPr="00CA38D8" w:rsidP="00CA38D8" w14:paraId="5139BB9E" w14:textId="11448B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modal value is the most occurring. Based on the data in the table above, the hours of sleep most reported by the students are 8 hours reported by the highest number of college students (n=12 students).</w:t>
      </w:r>
    </w:p>
    <w:p w:rsidR="002967AE" w:rsidRPr="00CA38D8" w:rsidP="00CA38D8" w14:paraId="60F55024" w14:textId="273F760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Median</w:t>
      </w:r>
    </w:p>
    <w:p w:rsidR="00DC1C66" w:rsidP="00CA38D8" w14:paraId="092C3996" w14:textId="54DE9C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The median value is obtained by first arranging the data </w:t>
      </w:r>
      <w:r w:rsidRPr="00CA38D8" w:rsidR="004B451B">
        <w:rPr>
          <w:rFonts w:ascii="Times New Roman" w:hAnsi="Times New Roman" w:cs="Times New Roman"/>
          <w:sz w:val="24"/>
          <w:szCs w:val="24"/>
        </w:rPr>
        <w:t>in ascending order and then taking the median value of the distribution</w:t>
      </w:r>
      <w:r w:rsidRPr="00CA38D8">
        <w:rPr>
          <w:rFonts w:ascii="Times New Roman" w:hAnsi="Times New Roman" w:cs="Times New Roman"/>
          <w:sz w:val="24"/>
          <w:szCs w:val="24"/>
        </w:rPr>
        <w:t>.</w:t>
      </w:r>
    </w:p>
    <w:p w:rsidR="00CA38D8" w:rsidP="00CA38D8" w14:paraId="7B14121A" w14:textId="4C0768A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CA38D8" w14:paraId="5347B12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7"/>
        <w:gridCol w:w="2238"/>
        <w:gridCol w:w="2303"/>
        <w:gridCol w:w="2238"/>
      </w:tblGrid>
      <w:tr w14:paraId="7C9FEF91" w14:textId="77777777" w:rsidTr="004362D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1D1EEA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DBDD3F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678726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5C9DFE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7710D5F2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EB68C8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C3A04D0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8D77D60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DF18F3C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421F08FC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BECAD5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1C3736C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22FB74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B96C56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304D866B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BA870D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7FE5C1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41F089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59856F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4DDA63D4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92A894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FE1D49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75A5969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C8F3B1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452C14C1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E3495B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260047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899110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32FA07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66BCAF66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724FEF0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71551A5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8DFB38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8F6FFB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008C273F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FA1C46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BF98AC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F4DAD7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204786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72A45919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BCA39D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81A909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E290E0F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80D55E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171E7C3D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5FB156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C71246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B8E534C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E1E2FD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6F405B0B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790F2E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EC41B8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460008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 values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201EF2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4E06D4BB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2F1B7D3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E25D2D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C15B2D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77A687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4A9E9AB0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771BDD8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30F5F57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7FC93C7B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6223D8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5FD0FD00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1A1327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019177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DA5A76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713708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4592C6F0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F86E2E8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4BBCC6E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39E4C0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7AD7D85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16550C4C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2AE6B67C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FF38FF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DE68CD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0B5B7B2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775CB7F4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7C570E9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4C89886A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343285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526E952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61B4BCD5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3B0A1416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CB160FE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BE2B151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2B91704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76251F3C" w14:textId="77777777" w:rsidTr="004362D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726294874"/>
          <w:trHeight w:val="300"/>
        </w:trPr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6DBD230C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BF6843D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0B3BDBD3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C66" w:rsidRPr="00CA38D8" w:rsidP="00FD0693" w14:paraId="126CE1F5" w14:textId="77777777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4362D2" w:rsidRPr="00CA38D8" w:rsidP="00FD0693" w14:paraId="5D5B57F6" w14:textId="6CCAB6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middle values of these data are:</w:t>
      </w:r>
    </w:p>
    <w:p w:rsidR="004362D2" w:rsidRPr="00CA38D8" w:rsidP="00FD0693" w14:paraId="37C02101" w14:textId="5D34D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20</w:t>
      </w:r>
      <w:r w:rsidRPr="00CA38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A38D8">
        <w:rPr>
          <w:rFonts w:ascii="Times New Roman" w:hAnsi="Times New Roman" w:cs="Times New Roman"/>
          <w:sz w:val="24"/>
          <w:szCs w:val="24"/>
        </w:rPr>
        <w:t xml:space="preserve"> value= 7</w:t>
      </w:r>
    </w:p>
    <w:p w:rsidR="00CF53D4" w:rsidRPr="00CA38D8" w:rsidP="00FD0693" w14:paraId="4F2DF13E" w14:textId="31470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21</w:t>
      </w:r>
      <w:r w:rsidRPr="00CA38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38D8">
        <w:rPr>
          <w:rFonts w:ascii="Times New Roman" w:hAnsi="Times New Roman" w:cs="Times New Roman"/>
          <w:sz w:val="24"/>
          <w:szCs w:val="24"/>
        </w:rPr>
        <w:t xml:space="preserve"> value=8</w:t>
      </w:r>
    </w:p>
    <w:p w:rsidR="00CF53D4" w:rsidRPr="00CA38D8" w:rsidP="00FD0693" w14:paraId="0CB3D830" w14:textId="1CF1CA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Median= (7+8)/2</w:t>
      </w:r>
    </w:p>
    <w:p w:rsidR="00CF53D4" w:rsidRPr="00CA38D8" w:rsidP="00FD0693" w14:paraId="02FF044E" w14:textId="5550388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= 7.50</w:t>
      </w:r>
    </w:p>
    <w:p w:rsidR="00FD0693" w:rsidRPr="00CA38D8" w:rsidP="00FD0693" w14:paraId="27A4324E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In this line, at least 50% of college students reported 7 or more hours of sleep.</w:t>
      </w:r>
    </w:p>
    <w:p w:rsidR="00FD0693" w:rsidRPr="00CA38D8" w:rsidP="00FD0693" w14:paraId="790F282D" w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Measures of dispersion</w:t>
      </w:r>
    </w:p>
    <w:p w:rsidR="00FD0693" w:rsidRPr="00CA38D8" w:rsidP="00FD0693" w14:paraId="0196B7EB" w14:textId="3800AEA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 xml:space="preserve">Variance </w:t>
      </w:r>
    </w:p>
    <w:p w:rsidR="00153BC8" w:rsidRPr="00CA38D8" w:rsidP="00A82E12" w14:paraId="1168CF98" w14:textId="0AA806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Variance=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/>
                <m:supHide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n-1</m:t>
            </m:r>
          </m:den>
        </m:f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1344"/>
        <w:gridCol w:w="1344"/>
        <w:gridCol w:w="1344"/>
        <w:gridCol w:w="1685"/>
        <w:gridCol w:w="1955"/>
      </w:tblGrid>
      <w:tr w14:paraId="25246618" w14:textId="77777777" w:rsidTr="001A1CC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8B3CE3E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4FBF591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1089BBC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24B4FE5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x-7.25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1E44BA71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(x-7.</w:t>
            </w: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25)^</w:t>
            </w: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DB14802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f(x-7.</w:t>
            </w: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25)^</w:t>
            </w: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367D042D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06D79BE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2E42B65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6616C1B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27CFF70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-3.25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0606304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CC396CD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21.125</w:t>
            </w:r>
          </w:p>
        </w:tc>
      </w:tr>
      <w:tr w14:paraId="68F37DAA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515F3AF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6326966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7024C64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E39661A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-2.25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B0EE21E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5055750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15.1875</w:t>
            </w:r>
          </w:p>
        </w:tc>
      </w:tr>
      <w:tr w14:paraId="112BDB49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028C849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17987715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F1D1CF2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AEC5239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71B142C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4E1B00D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10.9375</w:t>
            </w:r>
          </w:p>
        </w:tc>
      </w:tr>
      <w:tr w14:paraId="4BE6C7D8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5A883D09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79A60FB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8874770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8CC6DC1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159B4554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0BF748C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14:paraId="059512A7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F8D9105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501532C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EE07742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44BE243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E340287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1C51B4E2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6.75</w:t>
            </w:r>
          </w:p>
        </w:tc>
      </w:tr>
      <w:tr w14:paraId="08B314B7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42F94E42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13C1FA7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A97362A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605C3B3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63166B9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503E7FA1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21.4375</w:t>
            </w:r>
          </w:p>
        </w:tc>
      </w:tr>
      <w:tr w14:paraId="3CA3D324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592E600F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3280666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118A66ED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59B4CD8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1DFBD88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7.5625</w:t>
            </w: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F76D3AF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7.5625</w:t>
            </w:r>
          </w:p>
        </w:tc>
      </w:tr>
      <w:tr w14:paraId="462EEDE2" w14:textId="77777777" w:rsidTr="001A1CC3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divId w:val="423310183"/>
          <w:trHeight w:val="300"/>
        </w:trPr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73E7DB93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20DF8BE4" w14:textId="1635705E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/>
                  <m:supHide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B067C7A" w14:textId="2285B146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/>
                  <m:supHide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</m:oMath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02E21536" w14:textId="77777777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365477A2" w14:textId="7777777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BC8" w:rsidRPr="00CA38D8" w:rsidP="00153BC8" w14:paraId="617E527A" w14:textId="42D8417F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/>
                  <m:supHide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(x-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CA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83.5</w:t>
            </w:r>
          </w:p>
        </w:tc>
      </w:tr>
    </w:tbl>
    <w:p w:rsidR="00CA38D8" w:rsidP="00FD0693" w14:paraId="1931CAC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9A0" w:rsidRPr="00CA38D8" w:rsidP="00FD0693" w14:paraId="3CCD7907" w14:textId="00640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Variance=83.5/40-1</w:t>
      </w:r>
    </w:p>
    <w:p w:rsidR="00770470" w:rsidRPr="00CA38D8" w:rsidP="00FD0693" w14:paraId="233D9123" w14:textId="2B6DA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=83.5/39</w:t>
      </w:r>
    </w:p>
    <w:p w:rsidR="00770470" w:rsidRPr="00CA38D8" w:rsidP="00FD0693" w14:paraId="28D3AEC5" w14:textId="1DB00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CA38D8" w:rsidR="004D0DE9">
        <w:rPr>
          <w:rFonts w:ascii="Times New Roman" w:hAnsi="Times New Roman" w:cs="Times New Roman"/>
          <w:b/>
          <w:bCs/>
          <w:sz w:val="24"/>
          <w:szCs w:val="24"/>
        </w:rPr>
        <w:t>2.14</w:t>
      </w:r>
    </w:p>
    <w:p w:rsidR="00FB1D1B" w:rsidRPr="00CA38D8" w:rsidP="00FD0693" w14:paraId="05FF2E05" w14:textId="1C89EB67">
      <w:pPr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variance of the data is 2.14</w:t>
      </w:r>
    </w:p>
    <w:p w:rsidR="004D0DE9" w:rsidRPr="00CA38D8" w:rsidP="00FD0693" w14:paraId="29DDB225" w14:textId="55626C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Standard deviation=</w:t>
      </w:r>
      <w:r w:rsidRPr="00CA38D8">
        <w:rPr>
          <w:rFonts w:ascii="Times New Roman" w:hAnsi="Times New Roman" w:cs="Times New Roman"/>
          <w:b/>
          <w:bCs/>
          <w:sz w:val="24"/>
          <w:szCs w:val="24"/>
        </w:rPr>
        <w:t>sqrt(</w:t>
      </w:r>
      <w:r w:rsidRPr="00CA38D8">
        <w:rPr>
          <w:rFonts w:ascii="Times New Roman" w:hAnsi="Times New Roman" w:cs="Times New Roman"/>
          <w:b/>
          <w:bCs/>
          <w:sz w:val="24"/>
          <w:szCs w:val="24"/>
        </w:rPr>
        <w:t>2.14)</w:t>
      </w:r>
    </w:p>
    <w:p w:rsidR="004D0DE9" w:rsidRPr="00CA38D8" w:rsidP="00FD0693" w14:paraId="3BE4B57B" w14:textId="6013C7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CA38D8" w:rsidR="00073A16">
        <w:rPr>
          <w:rFonts w:ascii="Times New Roman" w:hAnsi="Times New Roman" w:cs="Times New Roman"/>
          <w:b/>
          <w:bCs/>
          <w:sz w:val="24"/>
          <w:szCs w:val="24"/>
        </w:rPr>
        <w:t>1.46</w:t>
      </w:r>
    </w:p>
    <w:p w:rsidR="002E29A0" w:rsidRPr="00CA38D8" w:rsidP="00CA38D8" w14:paraId="3587D530" w14:textId="7DD800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standard deviation is 1.46 suggesting a minimal variation in the sleep hours recorded amongst the sampled students.</w:t>
      </w:r>
      <w:r w:rsidRPr="00CA38D8" w:rsidR="00FB1D1B">
        <w:rPr>
          <w:rFonts w:ascii="Times New Roman" w:hAnsi="Times New Roman" w:cs="Times New Roman"/>
          <w:sz w:val="24"/>
          <w:szCs w:val="24"/>
        </w:rPr>
        <w:t xml:space="preserve"> The sleep hours vary by 1.46</w:t>
      </w:r>
      <w:r w:rsidRPr="00CA38D8" w:rsidR="00884950">
        <w:rPr>
          <w:rFonts w:ascii="Times New Roman" w:hAnsi="Times New Roman" w:cs="Times New Roman"/>
          <w:sz w:val="24"/>
          <w:szCs w:val="24"/>
        </w:rPr>
        <w:t>.</w:t>
      </w:r>
    </w:p>
    <w:p w:rsidR="00884950" w:rsidRPr="00CA38D8" w:rsidP="00FD0693" w14:paraId="628C5F58" w14:textId="3DE542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Range</w:t>
      </w:r>
    </w:p>
    <w:p w:rsidR="00884950" w:rsidRPr="00CA38D8" w:rsidP="00FD0693" w14:paraId="1F30A71C" w14:textId="44EF721F">
      <w:pPr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Range=Maximum value – Minimum value</w:t>
      </w:r>
    </w:p>
    <w:p w:rsidR="00884950" w:rsidRPr="00CA38D8" w:rsidP="00FD0693" w14:paraId="30F9D95F" w14:textId="6818364D">
      <w:pPr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=10-4</w:t>
      </w:r>
    </w:p>
    <w:p w:rsidR="00884950" w:rsidRPr="00CA38D8" w:rsidP="00FD0693" w14:paraId="25346AA0" w14:textId="78F03F55">
      <w:pPr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=6.00</w:t>
      </w:r>
    </w:p>
    <w:p w:rsidR="00884950" w:rsidRPr="00CA38D8" w:rsidP="00FD0693" w14:paraId="6D1EA66B" w14:textId="18CC775A">
      <w:pPr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>The difference between the highest and lowest sleep hours of the college students is 6 hours.</w:t>
      </w:r>
    </w:p>
    <w:p w:rsidR="00AC3515" w:rsidRPr="00CA38D8" w:rsidP="00AC3515" w14:paraId="770B7E33" w14:textId="6281DD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>A sketched bar chart of the data</w:t>
      </w:r>
      <w:r w:rsidRPr="00CA38D8" w:rsidR="006554D2">
        <w:rPr>
          <w:rFonts w:ascii="Times New Roman" w:hAnsi="Times New Roman" w:cs="Times New Roman"/>
          <w:b/>
          <w:bCs/>
          <w:sz w:val="24"/>
          <w:szCs w:val="24"/>
        </w:rPr>
        <w:t xml:space="preserve"> by hand</w:t>
      </w:r>
    </w:p>
    <w:p w:rsidR="00AC3515" w:rsidRPr="00CA38D8" w:rsidP="00AC3515" w14:paraId="5DCC45DE" w14:textId="4FE6F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4" name="Chart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3454A48-B383-46BD-90F2-AC938910BC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C3515" w:rsidP="00AC3515" w14:paraId="196902B2" w14:textId="263CA25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P="00AC3515" w14:paraId="7F2BA87D" w14:textId="48EBB62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AC3515" w14:paraId="15B6C710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7494" w:rsidRPr="00CA38D8" w:rsidP="00AC3515" w14:paraId="1E98D0A8" w14:textId="3858F4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8D8">
        <w:rPr>
          <w:rFonts w:ascii="Times New Roman" w:hAnsi="Times New Roman" w:cs="Times New Roman"/>
          <w:b/>
          <w:bCs/>
          <w:sz w:val="24"/>
          <w:szCs w:val="24"/>
        </w:rPr>
        <w:t xml:space="preserve">Descriptive </w:t>
      </w:r>
      <w:r w:rsidRPr="00CA38D8" w:rsidR="00654AE3">
        <w:rPr>
          <w:rFonts w:ascii="Times New Roman" w:hAnsi="Times New Roman" w:cs="Times New Roman"/>
          <w:b/>
          <w:bCs/>
          <w:sz w:val="24"/>
          <w:szCs w:val="24"/>
        </w:rPr>
        <w:t>Statistics</w:t>
      </w:r>
      <w:r w:rsidRPr="00CA38D8">
        <w:rPr>
          <w:rFonts w:ascii="Times New Roman" w:hAnsi="Times New Roman" w:cs="Times New Roman"/>
          <w:b/>
          <w:bCs/>
          <w:sz w:val="24"/>
          <w:szCs w:val="24"/>
        </w:rPr>
        <w:t xml:space="preserve"> in SPSS</w:t>
      </w:r>
    </w:p>
    <w:p w:rsidR="00654AE3" w:rsidRPr="00CA38D8" w:rsidP="00CA38D8" w14:paraId="762DB8D4" w14:textId="18E62E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The objective of this analysis was to describe the distribution of the number of hours of sleep reported by </w:t>
      </w:r>
      <w:r w:rsidRPr="00CA38D8" w:rsidR="000D125F">
        <w:rPr>
          <w:rFonts w:ascii="Times New Roman" w:hAnsi="Times New Roman" w:cs="Times New Roman"/>
          <w:sz w:val="24"/>
          <w:szCs w:val="24"/>
        </w:rPr>
        <w:t>students in college</w:t>
      </w:r>
      <w:r w:rsidRPr="00CA38D8" w:rsidR="00266686">
        <w:rPr>
          <w:rFonts w:ascii="Times New Roman" w:hAnsi="Times New Roman" w:cs="Times New Roman"/>
          <w:sz w:val="24"/>
          <w:szCs w:val="24"/>
        </w:rPr>
        <w:t xml:space="preserve">. The data were collected from a sample of forty students (n=40). The SPSS analysis platform was used to </w:t>
      </w:r>
      <w:r w:rsidRPr="00CA38D8" w:rsidR="00B97DE7">
        <w:rPr>
          <w:rFonts w:ascii="Times New Roman" w:hAnsi="Times New Roman" w:cs="Times New Roman"/>
          <w:sz w:val="24"/>
          <w:szCs w:val="24"/>
        </w:rPr>
        <w:t>generate measures of central tendency (mean, mode, median), measures of dispersion</w:t>
      </w:r>
      <w:r w:rsidRPr="00CA38D8" w:rsidR="000309E6">
        <w:rPr>
          <w:rFonts w:ascii="Times New Roman" w:hAnsi="Times New Roman" w:cs="Times New Roman"/>
          <w:sz w:val="24"/>
          <w:szCs w:val="24"/>
        </w:rPr>
        <w:t xml:space="preserve"> (range, standard deviation, and </w:t>
      </w:r>
      <w:r w:rsidRPr="00CA38D8" w:rsidR="008248A5">
        <w:rPr>
          <w:rFonts w:ascii="Times New Roman" w:hAnsi="Times New Roman" w:cs="Times New Roman"/>
          <w:sz w:val="24"/>
          <w:szCs w:val="24"/>
        </w:rPr>
        <w:t xml:space="preserve">variance), </w:t>
      </w:r>
      <w:r w:rsidRPr="00CA38D8" w:rsidR="005C28B0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CA38D8" w:rsidR="00F10B2E">
        <w:rPr>
          <w:rFonts w:ascii="Times New Roman" w:hAnsi="Times New Roman" w:cs="Times New Roman"/>
          <w:sz w:val="24"/>
          <w:szCs w:val="24"/>
        </w:rPr>
        <w:t>a bar chart and a histogram.</w:t>
      </w:r>
    </w:p>
    <w:p w:rsidR="00A25FC0" w:rsidRPr="00CA38D8" w:rsidP="00CA38D8" w14:paraId="518618E9" w14:textId="26F5D62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The mean, median, and mode were </w:t>
      </w:r>
      <w:r w:rsidRPr="00CA38D8" w:rsidR="003665CB">
        <w:rPr>
          <w:rFonts w:ascii="Times New Roman" w:hAnsi="Times New Roman" w:cs="Times New Roman"/>
          <w:sz w:val="24"/>
          <w:szCs w:val="24"/>
        </w:rPr>
        <w:t>7.25, 7.50, and 8, respectively</w:t>
      </w:r>
      <w:r w:rsidRPr="00CA38D8" w:rsidR="00B97186">
        <w:rPr>
          <w:rFonts w:ascii="Times New Roman" w:hAnsi="Times New Roman" w:cs="Times New Roman"/>
          <w:sz w:val="24"/>
          <w:szCs w:val="24"/>
        </w:rPr>
        <w:t xml:space="preserve"> (see Table 1)</w:t>
      </w:r>
      <w:r w:rsidRPr="00CA38D8" w:rsidR="003665CB">
        <w:rPr>
          <w:rFonts w:ascii="Times New Roman" w:hAnsi="Times New Roman" w:cs="Times New Roman"/>
          <w:sz w:val="24"/>
          <w:szCs w:val="24"/>
        </w:rPr>
        <w:t>.</w:t>
      </w:r>
      <w:r w:rsidRPr="00CA38D8" w:rsidR="00B97186">
        <w:rPr>
          <w:rFonts w:ascii="Times New Roman" w:hAnsi="Times New Roman" w:cs="Times New Roman"/>
          <w:sz w:val="24"/>
          <w:szCs w:val="24"/>
        </w:rPr>
        <w:t xml:space="preserve"> </w:t>
      </w:r>
      <w:r w:rsidRPr="00CA38D8" w:rsidR="00CA66CE">
        <w:rPr>
          <w:rFonts w:ascii="Times New Roman" w:hAnsi="Times New Roman" w:cs="Times New Roman"/>
          <w:sz w:val="24"/>
          <w:szCs w:val="24"/>
        </w:rPr>
        <w:t xml:space="preserve">The differences among the number of hours of sleep suggest a somewhat </w:t>
      </w:r>
      <w:r w:rsidRPr="00CA38D8" w:rsidR="001D6DD0">
        <w:rPr>
          <w:rFonts w:ascii="Times New Roman" w:hAnsi="Times New Roman" w:cs="Times New Roman"/>
          <w:sz w:val="24"/>
          <w:szCs w:val="24"/>
        </w:rPr>
        <w:t>negatively skewed</w:t>
      </w:r>
      <w:r w:rsidRPr="00CA38D8" w:rsidR="00CA66CE">
        <w:rPr>
          <w:rFonts w:ascii="Times New Roman" w:hAnsi="Times New Roman" w:cs="Times New Roman"/>
          <w:sz w:val="24"/>
          <w:szCs w:val="24"/>
        </w:rPr>
        <w:t xml:space="preserve"> distribution (</w:t>
      </w:r>
      <w:r w:rsidRPr="00CA38D8" w:rsidR="00381098">
        <w:rPr>
          <w:rFonts w:ascii="Times New Roman" w:hAnsi="Times New Roman" w:cs="Times New Roman"/>
          <w:sz w:val="24"/>
          <w:szCs w:val="24"/>
        </w:rPr>
        <w:t xml:space="preserve">negatively skewed </w:t>
      </w:r>
      <w:r w:rsidRPr="00CA38D8" w:rsidR="00CA66CE">
        <w:rPr>
          <w:rFonts w:ascii="Times New Roman" w:hAnsi="Times New Roman" w:cs="Times New Roman"/>
          <w:sz w:val="24"/>
          <w:szCs w:val="24"/>
        </w:rPr>
        <w:t>distribution)</w:t>
      </w:r>
      <w:r w:rsidRPr="00CA38D8" w:rsidR="00022FF7">
        <w:rPr>
          <w:rFonts w:ascii="Times New Roman" w:hAnsi="Times New Roman" w:cs="Times New Roman"/>
          <w:sz w:val="24"/>
          <w:szCs w:val="24"/>
        </w:rPr>
        <w:t xml:space="preserve">, with about 50% of the sampled college students reporting </w:t>
      </w:r>
      <w:r w:rsidRPr="00CA38D8" w:rsidR="004C3E32">
        <w:rPr>
          <w:rFonts w:ascii="Times New Roman" w:hAnsi="Times New Roman" w:cs="Times New Roman"/>
          <w:sz w:val="24"/>
          <w:szCs w:val="24"/>
        </w:rPr>
        <w:t xml:space="preserve">about 7 or more hours </w:t>
      </w:r>
      <w:r w:rsidRPr="00CA38D8" w:rsidR="00D97942">
        <w:rPr>
          <w:rFonts w:ascii="Times New Roman" w:hAnsi="Times New Roman" w:cs="Times New Roman"/>
          <w:sz w:val="24"/>
          <w:szCs w:val="24"/>
        </w:rPr>
        <w:t xml:space="preserve">of sleep per night. The observation of </w:t>
      </w:r>
      <w:r w:rsidRPr="00CA38D8" w:rsidR="00BB06B6">
        <w:rPr>
          <w:rFonts w:ascii="Times New Roman" w:hAnsi="Times New Roman" w:cs="Times New Roman"/>
          <w:sz w:val="24"/>
          <w:szCs w:val="24"/>
        </w:rPr>
        <w:t>non-</w:t>
      </w:r>
      <w:r w:rsidRPr="00CA38D8" w:rsidR="00D97942">
        <w:rPr>
          <w:rFonts w:ascii="Times New Roman" w:hAnsi="Times New Roman" w:cs="Times New Roman"/>
          <w:sz w:val="24"/>
          <w:szCs w:val="24"/>
        </w:rPr>
        <w:t xml:space="preserve">normality conforms with the standard deviation of the data, </w:t>
      </w:r>
      <w:r w:rsidRPr="00CA38D8" w:rsidR="00660855">
        <w:rPr>
          <w:rFonts w:ascii="Times New Roman" w:hAnsi="Times New Roman" w:cs="Times New Roman"/>
          <w:sz w:val="24"/>
          <w:szCs w:val="24"/>
        </w:rPr>
        <w:t>which was observed at 1.46</w:t>
      </w:r>
      <w:r w:rsidRPr="00CA38D8" w:rsidR="00040E9B">
        <w:rPr>
          <w:rFonts w:ascii="Times New Roman" w:hAnsi="Times New Roman" w:cs="Times New Roman"/>
          <w:sz w:val="24"/>
          <w:szCs w:val="24"/>
        </w:rPr>
        <w:t xml:space="preserve"> sleep hours.</w:t>
      </w:r>
      <w:r w:rsidRPr="00CA38D8" w:rsidR="002A4680">
        <w:rPr>
          <w:rFonts w:ascii="Times New Roman" w:hAnsi="Times New Roman" w:cs="Times New Roman"/>
          <w:sz w:val="24"/>
          <w:szCs w:val="24"/>
        </w:rPr>
        <w:t xml:space="preserve"> The bar chart (see Figure 1) and the histogram (see Figure 2) both conform with the </w:t>
      </w:r>
      <w:r w:rsidRPr="00CA38D8" w:rsidR="00284BAD">
        <w:rPr>
          <w:rFonts w:ascii="Times New Roman" w:hAnsi="Times New Roman" w:cs="Times New Roman"/>
          <w:sz w:val="24"/>
          <w:szCs w:val="24"/>
        </w:rPr>
        <w:t>idea of the negatively skewed distribution</w:t>
      </w:r>
      <w:r w:rsidRPr="00CA38D8" w:rsidR="00B010B2">
        <w:rPr>
          <w:rFonts w:ascii="Times New Roman" w:hAnsi="Times New Roman" w:cs="Times New Roman"/>
          <w:sz w:val="24"/>
          <w:szCs w:val="24"/>
        </w:rPr>
        <w:t xml:space="preserve">. The coefficient of skewness was -0.4, </w:t>
      </w:r>
      <w:r w:rsidRPr="00CA38D8" w:rsidR="00CC2904">
        <w:rPr>
          <w:rFonts w:ascii="Times New Roman" w:hAnsi="Times New Roman" w:cs="Times New Roman"/>
          <w:sz w:val="24"/>
          <w:szCs w:val="24"/>
        </w:rPr>
        <w:t>which conforms with the observation of negative skewness.</w:t>
      </w:r>
    </w:p>
    <w:p w:rsidR="00654AE3" w:rsidRPr="00CA38D8" w:rsidP="00CA38D8" w14:paraId="6F7AEE53" w14:textId="72E9A1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Conclusively, </w:t>
      </w:r>
      <w:r w:rsidRPr="00CA38D8" w:rsidR="0008335D">
        <w:rPr>
          <w:rFonts w:ascii="Times New Roman" w:hAnsi="Times New Roman" w:cs="Times New Roman"/>
          <w:sz w:val="24"/>
          <w:szCs w:val="24"/>
        </w:rPr>
        <w:t>the distribution of these data can be grouped into those students who reported less than 8 hours of sleep and those that reported more than 8 hours of sleep. About 30% (n=12 students</w:t>
      </w:r>
      <w:r w:rsidRPr="00CA38D8" w:rsidR="00BC67AD">
        <w:rPr>
          <w:rFonts w:ascii="Times New Roman" w:hAnsi="Times New Roman" w:cs="Times New Roman"/>
          <w:sz w:val="24"/>
          <w:szCs w:val="24"/>
        </w:rPr>
        <w:t>)</w:t>
      </w:r>
      <w:r w:rsidRPr="00CA38D8" w:rsidR="0008335D">
        <w:rPr>
          <w:rFonts w:ascii="Times New Roman" w:hAnsi="Times New Roman" w:cs="Times New Roman"/>
          <w:sz w:val="24"/>
          <w:szCs w:val="24"/>
        </w:rPr>
        <w:t xml:space="preserve"> reported having 8 hours of sleep, whereas 5% (n=2</w:t>
      </w:r>
      <w:r w:rsidRPr="00CA38D8" w:rsidR="00BC67AD">
        <w:rPr>
          <w:rFonts w:ascii="Times New Roman" w:hAnsi="Times New Roman" w:cs="Times New Roman"/>
          <w:sz w:val="24"/>
          <w:szCs w:val="24"/>
        </w:rPr>
        <w:t xml:space="preserve"> students) reporting 4 hours of sleep. Individuals with 10 hours of sleep appear as an outlier in the dataset as only 1 student reported sleeping for that long</w:t>
      </w:r>
      <w:r w:rsidRPr="00CA38D8" w:rsidR="00EA5F1F">
        <w:rPr>
          <w:rFonts w:ascii="Times New Roman" w:hAnsi="Times New Roman" w:cs="Times New Roman"/>
          <w:sz w:val="24"/>
          <w:szCs w:val="24"/>
        </w:rPr>
        <w:t xml:space="preserve"> (see Table 2)</w:t>
      </w:r>
      <w:r w:rsidRPr="00CA38D8" w:rsidR="00BC67A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291"/>
        <w:gridCol w:w="3289"/>
        <w:gridCol w:w="2446"/>
      </w:tblGrid>
      <w:tr w14:paraId="1358B839" w14:textId="77777777" w:rsidTr="00654AE3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A15D9FD" w14:textId="5C28F9F9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EFF5B5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4AE3" w:rsidRPr="00CA38D8" w:rsidP="00FD0693" w14:paraId="4DA0191B" w14:textId="29FFFA10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Table 1: </w:t>
            </w: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Number of Hours of Sleep Reported by College Students  </w:t>
            </w:r>
          </w:p>
        </w:tc>
      </w:tr>
      <w:tr w14:paraId="556133DE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23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DB1CC83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22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8FF9A6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356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0D42376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2736382B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23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D0FA8DD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CCDD84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FEE6218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4FACF24B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615906D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4529863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</w:tr>
      <w:tr w14:paraId="7E2C8F02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8D80967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2ED8C4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7.50</w:t>
            </w:r>
          </w:p>
        </w:tc>
      </w:tr>
      <w:tr w14:paraId="556F00DB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E77378A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E9A6DB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105C7E31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E80BE6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C1658E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1.463</w:t>
            </w:r>
          </w:p>
        </w:tc>
      </w:tr>
      <w:tr w14:paraId="5323ECAB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761D818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FABF6B3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2.141</w:t>
            </w:r>
          </w:p>
        </w:tc>
      </w:tr>
      <w:tr w14:paraId="4A36A039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43B4C7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Skewness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1F0493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-.459</w:t>
            </w:r>
          </w:p>
        </w:tc>
      </w:tr>
      <w:tr w14:paraId="5ED7F9AD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CAD763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Skewness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59DB93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.374</w:t>
            </w:r>
          </w:p>
        </w:tc>
      </w:tr>
      <w:tr w14:paraId="46328F7C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44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E925B9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35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FD1298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654AE3" w:rsidRPr="00CA38D8" w:rsidP="00FD0693" w14:paraId="1CB75C7E" w14:textId="77777777">
      <w:pPr>
        <w:autoSpaceDE w:val="0"/>
        <w:autoSpaceDN w:val="0"/>
        <w:adjustRightInd w:val="0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82C34ED" w14:textId="094DE7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FD0693" w14:paraId="0CA95C92" w14:textId="58511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8D8" w:rsidRPr="00CA38D8" w:rsidP="00FD0693" w14:paraId="39DD937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8A436FA" w14:textId="0EDDE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4D4297EC" w14:textId="77777777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67"/>
        <w:gridCol w:w="1027"/>
        <w:gridCol w:w="1787"/>
        <w:gridCol w:w="1417"/>
        <w:gridCol w:w="1863"/>
        <w:gridCol w:w="1865"/>
      </w:tblGrid>
      <w:tr w14:paraId="1F2CE7BB" w14:textId="77777777" w:rsidTr="00654AE3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ECB0FE1" w14:textId="6F439EFE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Table 2: </w:t>
            </w:r>
            <w:r w:rsidRPr="00CA38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Number of Hours of Sleep Reported by College Students</w:t>
            </w:r>
          </w:p>
        </w:tc>
      </w:tr>
      <w:tr w14:paraId="05123789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160" w:type="pct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654AE3" w:rsidRPr="00CA38D8" w:rsidP="00FD0693" w14:paraId="18C2C53B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315292D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785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DD9546D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03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588B276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032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8335A0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 Percent</w:t>
            </w:r>
          </w:p>
        </w:tc>
      </w:tr>
      <w:tr w14:paraId="5B76A41D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6E92696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56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97A1B96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C81343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3BC087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32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F9D1D03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32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96ED1E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14:paraId="5CAA34A1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182E4A4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58A6E4D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AB64A39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E4A6D2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84997EE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A56528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14:paraId="05DA125F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8B1E7EC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C1AFDA3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28112D5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CBC4D3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EEA4C8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D85ECC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14:paraId="08503140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19FF8C33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BB23127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E14A0F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86F66D0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4C81FFD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C801270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14:paraId="17C68BF2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77E20B9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CB9FCBA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62122CB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0409A90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97677D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0DFE0F9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14:paraId="573FD5F3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6F39470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992582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E4C338C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C624CDE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22B8D4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BD8CD1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97.5</w:t>
            </w:r>
          </w:p>
        </w:tc>
      </w:tr>
      <w:tr w14:paraId="6396F909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46FF9DC6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57548E3E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1E1CE24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EAE3151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6BA6BC07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6883CF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14:paraId="1E192FCD" w14:textId="77777777" w:rsidTr="00654AE3"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591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31DCC87B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E03D3F9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3E7E79F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22ADBBD2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32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7E0B20E8" w14:textId="77777777">
            <w:pPr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32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54AE3" w:rsidRPr="00CA38D8" w:rsidP="00FD0693" w14:paraId="0BFA5846" w14:textId="7777777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AE3" w:rsidRPr="00CA38D8" w:rsidP="00FD0693" w14:paraId="474B920E" w14:textId="77777777">
      <w:pPr>
        <w:autoSpaceDE w:val="0"/>
        <w:autoSpaceDN w:val="0"/>
        <w:adjustRightInd w:val="0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7310FB74" w14:textId="392F0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5B451AC9" w14:textId="05217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6F213F2D" w14:textId="69819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2B424570" w14:textId="286EB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9D7EDA6" w14:textId="77777777">
      <w:pPr>
        <w:keepNext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45891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E3" w:rsidRPr="00CA38D8" w:rsidP="00FD0693" w14:paraId="01FB3D68" w14:textId="61D39824">
      <w:pPr>
        <w:pStyle w:val="Caption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Figure </w:t>
      </w:r>
      <w:r w:rsidRPr="00CA38D8">
        <w:rPr>
          <w:rFonts w:ascii="Times New Roman" w:hAnsi="Times New Roman" w:cs="Times New Roman"/>
          <w:sz w:val="24"/>
          <w:szCs w:val="24"/>
        </w:rPr>
        <w:fldChar w:fldCharType="begin"/>
      </w:r>
      <w:r w:rsidRPr="00CA38D8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CA38D8">
        <w:rPr>
          <w:rFonts w:ascii="Times New Roman" w:hAnsi="Times New Roman" w:cs="Times New Roman"/>
          <w:sz w:val="24"/>
          <w:szCs w:val="24"/>
        </w:rPr>
        <w:fldChar w:fldCharType="separate"/>
      </w:r>
      <w:r w:rsidRPr="00CA38D8">
        <w:rPr>
          <w:rFonts w:ascii="Times New Roman" w:hAnsi="Times New Roman" w:cs="Times New Roman"/>
          <w:noProof/>
          <w:sz w:val="24"/>
          <w:szCs w:val="24"/>
        </w:rPr>
        <w:t>1</w:t>
      </w:r>
      <w:r w:rsidRPr="00CA38D8">
        <w:rPr>
          <w:rFonts w:ascii="Times New Roman" w:hAnsi="Times New Roman" w:cs="Times New Roman"/>
          <w:sz w:val="24"/>
          <w:szCs w:val="24"/>
        </w:rPr>
        <w:fldChar w:fldCharType="end"/>
      </w:r>
      <w:r w:rsidRPr="00CA38D8">
        <w:rPr>
          <w:rFonts w:ascii="Times New Roman" w:hAnsi="Times New Roman" w:cs="Times New Roman"/>
          <w:sz w:val="24"/>
          <w:szCs w:val="24"/>
        </w:rPr>
        <w:t>: A bar chart of the number of hours of sleep reported by college students.</w:t>
      </w:r>
    </w:p>
    <w:p w:rsidR="00654AE3" w:rsidRPr="00CA38D8" w:rsidP="00FD0693" w14:paraId="1E6F7A20" w14:textId="77777777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5ACF213" w14:textId="77777777">
      <w:pPr>
        <w:autoSpaceDE w:val="0"/>
        <w:autoSpaceDN w:val="0"/>
        <w:adjustRightInd w:val="0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9ECF396" w14:textId="0C671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420024B1" w14:textId="77777777">
      <w:pPr>
        <w:keepNext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45891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E3" w:rsidRPr="00CA38D8" w:rsidP="00FD0693" w14:paraId="47878B84" w14:textId="34FC04F5">
      <w:pPr>
        <w:pStyle w:val="Caption"/>
        <w:jc w:val="both"/>
        <w:rPr>
          <w:rFonts w:ascii="Times New Roman" w:hAnsi="Times New Roman" w:cs="Times New Roman"/>
          <w:sz w:val="24"/>
          <w:szCs w:val="24"/>
        </w:rPr>
      </w:pPr>
      <w:r w:rsidRPr="00CA38D8">
        <w:rPr>
          <w:rFonts w:ascii="Times New Roman" w:hAnsi="Times New Roman" w:cs="Times New Roman"/>
          <w:sz w:val="24"/>
          <w:szCs w:val="24"/>
        </w:rPr>
        <w:t xml:space="preserve">Figure </w:t>
      </w:r>
      <w:r w:rsidRPr="00CA38D8">
        <w:rPr>
          <w:rFonts w:ascii="Times New Roman" w:hAnsi="Times New Roman" w:cs="Times New Roman"/>
          <w:sz w:val="24"/>
          <w:szCs w:val="24"/>
        </w:rPr>
        <w:fldChar w:fldCharType="begin"/>
      </w:r>
      <w:r w:rsidRPr="00CA38D8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CA38D8">
        <w:rPr>
          <w:rFonts w:ascii="Times New Roman" w:hAnsi="Times New Roman" w:cs="Times New Roman"/>
          <w:sz w:val="24"/>
          <w:szCs w:val="24"/>
        </w:rPr>
        <w:fldChar w:fldCharType="separate"/>
      </w:r>
      <w:r w:rsidRPr="00CA38D8">
        <w:rPr>
          <w:rFonts w:ascii="Times New Roman" w:hAnsi="Times New Roman" w:cs="Times New Roman"/>
          <w:noProof/>
          <w:sz w:val="24"/>
          <w:szCs w:val="24"/>
        </w:rPr>
        <w:t>2</w:t>
      </w:r>
      <w:r w:rsidRPr="00CA38D8">
        <w:rPr>
          <w:rFonts w:ascii="Times New Roman" w:hAnsi="Times New Roman" w:cs="Times New Roman"/>
          <w:sz w:val="24"/>
          <w:szCs w:val="24"/>
        </w:rPr>
        <w:fldChar w:fldCharType="end"/>
      </w:r>
      <w:r w:rsidRPr="00CA38D8">
        <w:rPr>
          <w:rFonts w:ascii="Times New Roman" w:hAnsi="Times New Roman" w:cs="Times New Roman"/>
          <w:sz w:val="24"/>
          <w:szCs w:val="24"/>
        </w:rPr>
        <w:t>: A histogram of the distribution of the number of hours of sleep reported by college students.</w:t>
      </w:r>
    </w:p>
    <w:p w:rsidR="00654AE3" w:rsidRPr="00CA38D8" w:rsidP="00FD0693" w14:paraId="360022E4" w14:textId="77777777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3E4759CC" w14:textId="77777777">
      <w:pPr>
        <w:autoSpaceDE w:val="0"/>
        <w:autoSpaceDN w:val="0"/>
        <w:adjustRightInd w:val="0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4AE3" w:rsidRPr="00CA38D8" w:rsidP="00FD0693" w14:paraId="697ADFF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533C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80664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38D8" w:rsidRPr="00CA38D8" w14:paraId="79DBA6DF" w14:textId="0F4BDB0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A38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38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38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38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38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38D8" w:rsidRPr="00CA38D8" w14:paraId="1377F19D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9B153B"/>
    <w:multiLevelType w:val="hybridMultilevel"/>
    <w:tmpl w:val="C6AE88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351D0"/>
    <w:multiLevelType w:val="hybridMultilevel"/>
    <w:tmpl w:val="2CDEB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3"/>
    <w:rsid w:val="00022FF7"/>
    <w:rsid w:val="000309E6"/>
    <w:rsid w:val="00040E9B"/>
    <w:rsid w:val="00073A16"/>
    <w:rsid w:val="0008335D"/>
    <w:rsid w:val="000D125F"/>
    <w:rsid w:val="0011094A"/>
    <w:rsid w:val="00153BC8"/>
    <w:rsid w:val="001A1CC3"/>
    <w:rsid w:val="001D6DD0"/>
    <w:rsid w:val="001E6F94"/>
    <w:rsid w:val="00266686"/>
    <w:rsid w:val="00283E33"/>
    <w:rsid w:val="00284BAD"/>
    <w:rsid w:val="002967AE"/>
    <w:rsid w:val="002A22F1"/>
    <w:rsid w:val="002A4680"/>
    <w:rsid w:val="002C1151"/>
    <w:rsid w:val="002E29A0"/>
    <w:rsid w:val="00314B4A"/>
    <w:rsid w:val="00314C59"/>
    <w:rsid w:val="003208CC"/>
    <w:rsid w:val="0034044A"/>
    <w:rsid w:val="003665CB"/>
    <w:rsid w:val="00381098"/>
    <w:rsid w:val="003C672A"/>
    <w:rsid w:val="004362D2"/>
    <w:rsid w:val="0044115B"/>
    <w:rsid w:val="004B451B"/>
    <w:rsid w:val="004C3E32"/>
    <w:rsid w:val="004D0DE9"/>
    <w:rsid w:val="004D7BF6"/>
    <w:rsid w:val="00533C6B"/>
    <w:rsid w:val="005C28B0"/>
    <w:rsid w:val="00654AE3"/>
    <w:rsid w:val="006554D2"/>
    <w:rsid w:val="00660855"/>
    <w:rsid w:val="00671F74"/>
    <w:rsid w:val="00720463"/>
    <w:rsid w:val="00767026"/>
    <w:rsid w:val="00770470"/>
    <w:rsid w:val="008208AC"/>
    <w:rsid w:val="008248A5"/>
    <w:rsid w:val="00884950"/>
    <w:rsid w:val="009F5AA6"/>
    <w:rsid w:val="00A25FC0"/>
    <w:rsid w:val="00A82E12"/>
    <w:rsid w:val="00AC3515"/>
    <w:rsid w:val="00B010B2"/>
    <w:rsid w:val="00B97186"/>
    <w:rsid w:val="00B97DE7"/>
    <w:rsid w:val="00BB06B6"/>
    <w:rsid w:val="00BC67AD"/>
    <w:rsid w:val="00CA38D8"/>
    <w:rsid w:val="00CA66CE"/>
    <w:rsid w:val="00CB7494"/>
    <w:rsid w:val="00CC2904"/>
    <w:rsid w:val="00CF53D4"/>
    <w:rsid w:val="00D02630"/>
    <w:rsid w:val="00D97942"/>
    <w:rsid w:val="00DC1C66"/>
    <w:rsid w:val="00EA5F1F"/>
    <w:rsid w:val="00EE077F"/>
    <w:rsid w:val="00F10B2E"/>
    <w:rsid w:val="00F15955"/>
    <w:rsid w:val="00FB1D1B"/>
    <w:rsid w:val="00FD0693"/>
  </w:rsids>
  <w:docVars>
    <w:docVar w:name="__Grammarly_42___1" w:val="H4sIAAAAAAAEAKtWcslP9kxRslIyNDYyszC1sDAyNDczMTAwsjBU0lEKTi0uzszPAykwqgUAH+390SwAAAA="/>
    <w:docVar w:name="__Grammarly_42____i" w:val="H4sIAAAAAAAEAKtWckksSQxILCpxzi/NK1GyMqwFAAEhoTITAAAA"/>
  </w:docVars>
  <m:mathPr>
    <m:mathFont m:val="Cambria Math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D8986E"/>
  <w15:chartTrackingRefBased/>
  <w15:docId w15:val="{370746F9-0865-476D-A242-CF5A7C7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15B"/>
    <w:pPr>
      <w:keepNext/>
      <w:keepLines/>
      <w:spacing w:before="40"/>
      <w:outlineLvl w:val="1"/>
    </w:pPr>
    <w:rPr>
      <w:rFonts w:ascii="Times New Roman" w:hAnsi="Times New Roman"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15B"/>
    <w:rPr>
      <w:rFonts w:ascii="Times New Roman" w:hAnsi="Times New Roman" w:eastAsiaTheme="majorEastAsia" w:cstheme="majorBidi"/>
      <w:b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654AE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9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6F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38D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D8"/>
  </w:style>
  <w:style w:type="paragraph" w:styleId="Footer">
    <w:name w:val="footer"/>
    <w:basedOn w:val="Normal"/>
    <w:link w:val="FooterChar"/>
    <w:uiPriority w:val="99"/>
    <w:unhideWhenUsed/>
    <w:rsid w:val="00CA38D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oleObject" Target="file:///C:\Users\Amos%20Okutse\Documents\Kevs%20Work\sleep%20data.xlsx" TargetMode="External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Sleep</a:t>
            </a:r>
            <a:r>
              <a:rPr lang="en-US" baseline="0"/>
              <a:t> patterns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Sheet1!$P$11</c:f>
              <c:strCache>
                <c:ptCount val="1"/>
                <c:pt idx="0">
                  <c:v>frequency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Sheet1!$O$12:$O$18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</c:numCache>
            </c:numRef>
          </c:cat>
          <c:val>
            <c:numRef>
              <c:f>Sheet1!$P$12:$P$18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7</c:v>
                </c:pt>
                <c:pt idx="3">
                  <c:v>8</c:v>
                </c:pt>
                <c:pt idx="4">
                  <c:v>12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5-4EDB-B1B7-D78C843A1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54132272"/>
        <c:axId val="554155984"/>
      </c:barChart>
      <c:catAx>
        <c:axId val="554132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sleep time (x)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4155984"/>
        <c:crosses val="autoZero"/>
        <c:auto val="1"/>
        <c:lblAlgn val="ctr"/>
        <c:lblOffset val="100"/>
        <c:noMultiLvlLbl val="0"/>
      </c:catAx>
      <c:valAx>
        <c:axId val="554155984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413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kelvi</cp:lastModifiedBy>
  <cp:revision>6</cp:revision>
  <dcterms:created xsi:type="dcterms:W3CDTF">2021-06-19T14:56:00Z</dcterms:created>
  <dcterms:modified xsi:type="dcterms:W3CDTF">2021-06-20T03:11:00Z</dcterms:modified>
</cp:coreProperties>
</file>